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1466F" w:rsidRDefault="00292411" w:rsidP="00D4237C">
      <w:bookmarkStart w:id="0" w:name="_GoBack"/>
      <w:r>
        <w:rPr>
          <w:noProof/>
        </w:rPr>
        <w:drawing>
          <wp:inline distT="0" distB="0" distL="0" distR="0">
            <wp:extent cx="10306878" cy="652006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1466F" w:rsidSect="00D4237C">
      <w:pgSz w:w="16838" w:h="11906" w:orient="landscape"/>
      <w:pgMar w:top="567" w:right="678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3A4"/>
    <w:rsid w:val="00066B4D"/>
    <w:rsid w:val="000C24B3"/>
    <w:rsid w:val="000D0508"/>
    <w:rsid w:val="000E40BE"/>
    <w:rsid w:val="000E54A9"/>
    <w:rsid w:val="001849AC"/>
    <w:rsid w:val="001A7E7F"/>
    <w:rsid w:val="001F27F7"/>
    <w:rsid w:val="00236FB7"/>
    <w:rsid w:val="00292411"/>
    <w:rsid w:val="002A4FE4"/>
    <w:rsid w:val="002C23A4"/>
    <w:rsid w:val="002C31F6"/>
    <w:rsid w:val="002F596C"/>
    <w:rsid w:val="0032288C"/>
    <w:rsid w:val="0035059F"/>
    <w:rsid w:val="003615CE"/>
    <w:rsid w:val="003835E6"/>
    <w:rsid w:val="003926AD"/>
    <w:rsid w:val="003A0870"/>
    <w:rsid w:val="003A1CE8"/>
    <w:rsid w:val="003E1FAA"/>
    <w:rsid w:val="003F2C5D"/>
    <w:rsid w:val="003F5E57"/>
    <w:rsid w:val="00437407"/>
    <w:rsid w:val="004954CE"/>
    <w:rsid w:val="004A0F26"/>
    <w:rsid w:val="004A5688"/>
    <w:rsid w:val="004D448F"/>
    <w:rsid w:val="00535B78"/>
    <w:rsid w:val="00535E2F"/>
    <w:rsid w:val="00550DA0"/>
    <w:rsid w:val="00566F1C"/>
    <w:rsid w:val="00595BA7"/>
    <w:rsid w:val="00622E47"/>
    <w:rsid w:val="00655217"/>
    <w:rsid w:val="006B0C6A"/>
    <w:rsid w:val="00701819"/>
    <w:rsid w:val="0070253C"/>
    <w:rsid w:val="0070716C"/>
    <w:rsid w:val="00722E01"/>
    <w:rsid w:val="0073709E"/>
    <w:rsid w:val="007668DA"/>
    <w:rsid w:val="00773DEA"/>
    <w:rsid w:val="0079021B"/>
    <w:rsid w:val="0079081A"/>
    <w:rsid w:val="00797EC8"/>
    <w:rsid w:val="007C19AD"/>
    <w:rsid w:val="00822877"/>
    <w:rsid w:val="00844F3B"/>
    <w:rsid w:val="008458B2"/>
    <w:rsid w:val="0085764A"/>
    <w:rsid w:val="0087380C"/>
    <w:rsid w:val="00881799"/>
    <w:rsid w:val="008A2277"/>
    <w:rsid w:val="008D040B"/>
    <w:rsid w:val="008F7878"/>
    <w:rsid w:val="0091466F"/>
    <w:rsid w:val="00983380"/>
    <w:rsid w:val="009B4A51"/>
    <w:rsid w:val="009C56B7"/>
    <w:rsid w:val="009E6FDA"/>
    <w:rsid w:val="00A04711"/>
    <w:rsid w:val="00A12B9C"/>
    <w:rsid w:val="00A42DC2"/>
    <w:rsid w:val="00A46461"/>
    <w:rsid w:val="00A80C22"/>
    <w:rsid w:val="00AB2787"/>
    <w:rsid w:val="00AE1DD1"/>
    <w:rsid w:val="00B73B0D"/>
    <w:rsid w:val="00BC4BF9"/>
    <w:rsid w:val="00C07F73"/>
    <w:rsid w:val="00C2233C"/>
    <w:rsid w:val="00C36C93"/>
    <w:rsid w:val="00C40846"/>
    <w:rsid w:val="00C77E81"/>
    <w:rsid w:val="00CC5A39"/>
    <w:rsid w:val="00CF0943"/>
    <w:rsid w:val="00D20C86"/>
    <w:rsid w:val="00D4237C"/>
    <w:rsid w:val="00D7580F"/>
    <w:rsid w:val="00DC5187"/>
    <w:rsid w:val="00DD0208"/>
    <w:rsid w:val="00E14202"/>
    <w:rsid w:val="00E27B40"/>
    <w:rsid w:val="00E73F08"/>
    <w:rsid w:val="00E85D3B"/>
    <w:rsid w:val="00EA3098"/>
    <w:rsid w:val="00ED754B"/>
    <w:rsid w:val="00F02F9C"/>
    <w:rsid w:val="00F16225"/>
    <w:rsid w:val="00F27BA2"/>
    <w:rsid w:val="00F65D13"/>
    <w:rsid w:val="00F81322"/>
    <w:rsid w:val="00F8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ysClr val="windowText" lastClr="000000"/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Сравнение расходов бюджета Невьянского городского</a:t>
            </a:r>
            <a:r>
              <a:rPr lang="ru-RU" b="1" cap="none" spc="0" baseline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ysClr val="windowText" lastClr="000000"/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 округа с другими территриями</a:t>
            </a:r>
            <a:endParaRPr lang="ru-RU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5.8401048274318294E-2"/>
          <c:y val="0.11958021180584599"/>
          <c:w val="0.78945647931557261"/>
          <c:h val="0.779892065843818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Невьянский городской округ, количество жителей 40584</c:v>
                </c:pt>
              </c:strCache>
            </c:strRef>
          </c:tx>
          <c:dLbls>
            <c:dLbl>
              <c:idx val="0"/>
              <c:layout>
                <c:manualLayout>
                  <c:x val="3.9226229394950703E-4"/>
                  <c:y val="8.196753746010962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9.7022580744374797E-8"/>
                  <c:y val="7.636468264369598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0451741987070353E-4"/>
                  <c:y val="7.821389620263219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1677254579199008E-4"/>
                  <c:y val="6.265485840717328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9.7022580744374797E-8"/>
                  <c:y val="6.267817104389542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Лист1!$A$2:$A$7</c:f>
              <c:strCache>
                <c:ptCount val="6"/>
                <c:pt idx="0">
                  <c:v> на 01.04.2022 млн. руб.</c:v>
                </c:pt>
                <c:pt idx="1">
                  <c:v> на 01.07.2022 млн. руб.</c:v>
                </c:pt>
                <c:pt idx="2">
                  <c:v> на 01.10.2022 млн. руб.</c:v>
                </c:pt>
                <c:pt idx="3">
                  <c:v> на 01.01.2023 млн. руб.</c:v>
                </c:pt>
                <c:pt idx="4">
                  <c:v> на 01.04.2023 млн. руб.</c:v>
                </c:pt>
                <c:pt idx="5">
                  <c:v> на 01.07.2023 млн. руб.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505.04</c:v>
                </c:pt>
                <c:pt idx="1">
                  <c:v>1224.01</c:v>
                </c:pt>
                <c:pt idx="2">
                  <c:v>1725.8</c:v>
                </c:pt>
                <c:pt idx="3">
                  <c:v>2423.1</c:v>
                </c:pt>
                <c:pt idx="4">
                  <c:v>474.928</c:v>
                </c:pt>
                <c:pt idx="5">
                  <c:v>1282.4179999999999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Верхнесалдинский городской округ,  количество жителей 43 272</c:v>
                </c:pt>
              </c:strCache>
            </c:strRef>
          </c:tx>
          <c:dLbls>
            <c:dLbl>
              <c:idx val="0"/>
              <c:layout>
                <c:manualLayout>
                  <c:x val="1.1215810334049724E-4"/>
                  <c:y val="6.861553152274929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121939434817805E-3"/>
                  <c:y val="7.823751558457425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181852430789197E-3"/>
                  <c:y val="7.00411299328274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9044562374313323E-3"/>
                  <c:y val="6.2091367437982686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Лист1!$A$2:$A$7</c:f>
              <c:strCache>
                <c:ptCount val="6"/>
                <c:pt idx="0">
                  <c:v> на 01.04.2022 млн. руб.</c:v>
                </c:pt>
                <c:pt idx="1">
                  <c:v> на 01.07.2022 млн. руб.</c:v>
                </c:pt>
                <c:pt idx="2">
                  <c:v> на 01.10.2022 млн. руб.</c:v>
                </c:pt>
                <c:pt idx="3">
                  <c:v> на 01.01.2023 млн. руб.</c:v>
                </c:pt>
                <c:pt idx="4">
                  <c:v> на 01.04.2023 млн. руб.</c:v>
                </c:pt>
                <c:pt idx="5">
                  <c:v> на 01.07.2023 млн. руб.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334.04</c:v>
                </c:pt>
                <c:pt idx="1">
                  <c:v>778.34</c:v>
                </c:pt>
                <c:pt idx="2">
                  <c:v>1232.9000000000001</c:v>
                </c:pt>
                <c:pt idx="3">
                  <c:v>1687.8</c:v>
                </c:pt>
                <c:pt idx="4">
                  <c:v>380.04</c:v>
                </c:pt>
                <c:pt idx="5">
                  <c:v>871.79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Североуральский городской округ, количество жителей 40037</c:v>
                </c:pt>
              </c:strCache>
            </c:strRef>
          </c:tx>
          <c:dLbls>
            <c:dLbl>
              <c:idx val="0"/>
              <c:layout>
                <c:manualLayout>
                  <c:x val="8.9677971382025627E-4"/>
                  <c:y val="7.035216958593540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9.7022580744374797E-8"/>
                  <c:y val="8.790627829245385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321867754535594E-3"/>
                  <c:y val="7.621913203679286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5122909660625699E-3"/>
                  <c:y val="6.6409726645530798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Лист1!$A$2:$A$7</c:f>
              <c:strCache>
                <c:ptCount val="6"/>
                <c:pt idx="0">
                  <c:v> на 01.04.2022 млн. руб.</c:v>
                </c:pt>
                <c:pt idx="1">
                  <c:v> на 01.07.2022 млн. руб.</c:v>
                </c:pt>
                <c:pt idx="2">
                  <c:v> на 01.10.2022 млн. руб.</c:v>
                </c:pt>
                <c:pt idx="3">
                  <c:v> на 01.01.2023 млн. руб.</c:v>
                </c:pt>
                <c:pt idx="4">
                  <c:v> на 01.04.2023 млн. руб.</c:v>
                </c:pt>
                <c:pt idx="5">
                  <c:v> на 01.07.2023 млн. руб.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342.45</c:v>
                </c:pt>
                <c:pt idx="1">
                  <c:v>838.61</c:v>
                </c:pt>
                <c:pt idx="2">
                  <c:v>1198.5999999999999</c:v>
                </c:pt>
                <c:pt idx="3">
                  <c:v>1770.2</c:v>
                </c:pt>
                <c:pt idx="4">
                  <c:v>352.88</c:v>
                </c:pt>
                <c:pt idx="5">
                  <c:v>894.18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Качканарский городской округ, количество жителей 40591</c:v>
                </c:pt>
              </c:strCache>
            </c:strRef>
          </c:tx>
          <c:dLbls>
            <c:dLbl>
              <c:idx val="0"/>
              <c:layout>
                <c:manualLayout>
                  <c:x val="2.800071680282657E-4"/>
                  <c:y val="7.23470871243847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321867754535594E-3"/>
                  <c:y val="7.636483601630600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7.63648360163060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8010419060900995E-4"/>
                  <c:y val="6.4015886948435755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Лист1!$A$2:$A$7</c:f>
              <c:strCache>
                <c:ptCount val="6"/>
                <c:pt idx="0">
                  <c:v> на 01.04.2022 млн. руб.</c:v>
                </c:pt>
                <c:pt idx="1">
                  <c:v> на 01.07.2022 млн. руб.</c:v>
                </c:pt>
                <c:pt idx="2">
                  <c:v> на 01.10.2022 млн. руб.</c:v>
                </c:pt>
                <c:pt idx="3">
                  <c:v> на 01.01.2023 млн. руб.</c:v>
                </c:pt>
                <c:pt idx="4">
                  <c:v> на 01.04.2023 млн. руб.</c:v>
                </c:pt>
                <c:pt idx="5">
                  <c:v> на 01.07.2023 млн. руб.</c:v>
                </c:pt>
              </c:strCache>
            </c:strRef>
          </c:cat>
          <c:val>
            <c:numRef>
              <c:f>Лист1!$E$2:$E$7</c:f>
              <c:numCache>
                <c:formatCode>0.0</c:formatCode>
                <c:ptCount val="6"/>
                <c:pt idx="0">
                  <c:v>332.96</c:v>
                </c:pt>
                <c:pt idx="1">
                  <c:v>862.79</c:v>
                </c:pt>
                <c:pt idx="2">
                  <c:v>1446.8</c:v>
                </c:pt>
                <c:pt idx="3">
                  <c:v>2054.5</c:v>
                </c:pt>
                <c:pt idx="4">
                  <c:v>2057.0100000000002</c:v>
                </c:pt>
                <c:pt idx="5">
                  <c:v>2117.42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Нижнесергинский муниципальный район, количество жителей 39316</c:v>
                </c:pt>
              </c:strCache>
            </c:strRef>
          </c:tx>
          <c:dLbls>
            <c:dLbl>
              <c:idx val="0"/>
              <c:layout>
                <c:manualLayout>
                  <c:x val="-1.6772293533280063E-3"/>
                  <c:y val="6.654929572064344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5179659847344754E-17"/>
                  <c:y val="7.441700386913084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0359319694689496E-17"/>
                  <c:y val="8.999966104653189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2322837980343038E-3"/>
                  <c:y val="7.246917172195573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Лист1!$A$2:$A$7</c:f>
              <c:strCache>
                <c:ptCount val="6"/>
                <c:pt idx="0">
                  <c:v> на 01.04.2022 млн. руб.</c:v>
                </c:pt>
                <c:pt idx="1">
                  <c:v> на 01.07.2022 млн. руб.</c:v>
                </c:pt>
                <c:pt idx="2">
                  <c:v> на 01.10.2022 млн. руб.</c:v>
                </c:pt>
                <c:pt idx="3">
                  <c:v> на 01.01.2023 млн. руб.</c:v>
                </c:pt>
                <c:pt idx="4">
                  <c:v> на 01.04.2023 млн. руб.</c:v>
                </c:pt>
                <c:pt idx="5">
                  <c:v> на 01.07.2023 млн. руб.</c:v>
                </c:pt>
              </c:strCache>
            </c:strRef>
          </c:cat>
          <c:val>
            <c:numRef>
              <c:f>Лист1!$F$2:$F$7</c:f>
              <c:numCache>
                <c:formatCode>0.0</c:formatCode>
                <c:ptCount val="6"/>
                <c:pt idx="0">
                  <c:v>409.71</c:v>
                </c:pt>
                <c:pt idx="1">
                  <c:v>1083.6500000000001</c:v>
                </c:pt>
                <c:pt idx="2">
                  <c:v>1259.5999999999999</c:v>
                </c:pt>
                <c:pt idx="3">
                  <c:v>1798.5</c:v>
                </c:pt>
                <c:pt idx="4">
                  <c:v>496.11</c:v>
                </c:pt>
                <c:pt idx="5">
                  <c:v>1185.2</c:v>
                </c:pt>
              </c:numCache>
            </c:numRef>
          </c:val>
        </c:ser>
        <c:dLbls>
          <c:showVal val="1"/>
        </c:dLbls>
        <c:axId val="78916608"/>
        <c:axId val="78938880"/>
      </c:barChart>
      <c:catAx>
        <c:axId val="78916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938880"/>
        <c:crosses val="autoZero"/>
        <c:auto val="1"/>
        <c:lblAlgn val="ctr"/>
        <c:lblOffset val="100"/>
      </c:catAx>
      <c:valAx>
        <c:axId val="78938880"/>
        <c:scaling>
          <c:orientation val="minMax"/>
        </c:scaling>
        <c:axPos val="l"/>
        <c:majorGridlines/>
        <c:numFmt formatCode="0.0" sourceLinked="1"/>
        <c:tickLblPos val="nextTo"/>
        <c:crossAx val="7891660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4338436640704051"/>
          <c:y val="0.12064234762763958"/>
          <c:w val="0.14922249006925287"/>
          <c:h val="0.782994356357959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tx2">
        <a:lumMod val="20000"/>
        <a:lumOff val="80000"/>
      </a:schemeClr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IvanovaOI</cp:lastModifiedBy>
  <cp:revision>11</cp:revision>
  <cp:lastPrinted>2018-07-31T10:55:00Z</cp:lastPrinted>
  <dcterms:created xsi:type="dcterms:W3CDTF">2021-05-20T08:01:00Z</dcterms:created>
  <dcterms:modified xsi:type="dcterms:W3CDTF">2023-07-28T06:18:00Z</dcterms:modified>
</cp:coreProperties>
</file>